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ind w:left="284" w:firstLine="0"/>
        <w:jc w:val="center"/>
        <w:rPr>
          <w:rFonts w:ascii="Verdana" w:cs="Verdana" w:hAnsi="Verdana" w:eastAsia="Verdana"/>
          <w:i w:val="1"/>
          <w:iCs w:val="1"/>
          <w:u w:val="single"/>
        </w:rPr>
      </w:pPr>
      <w:r>
        <w:rPr>
          <w:rFonts w:ascii="Verdana" w:hAnsi="Verdana"/>
          <w:i w:val="1"/>
          <w:iCs w:val="1"/>
          <w:u w:val="single"/>
          <w:rtl w:val="0"/>
          <w:lang w:val="it-IT"/>
        </w:rPr>
        <w:t xml:space="preserve">Comunicato Stampa </w:t>
      </w:r>
    </w:p>
    <w:p>
      <w:pPr>
        <w:pStyle w:val="Corpo A"/>
        <w:ind w:left="284" w:firstLine="0"/>
        <w:jc w:val="center"/>
      </w:pPr>
    </w:p>
    <w:p>
      <w:pPr>
        <w:pStyle w:val="Corpo A"/>
        <w:ind w:left="284" w:firstLine="0"/>
        <w:jc w:val="center"/>
      </w:pPr>
    </w:p>
    <w:p>
      <w:pPr>
        <w:pStyle w:val="Corpo A"/>
        <w:ind w:left="284" w:firstLine="0"/>
        <w:jc w:val="center"/>
        <w:rPr>
          <w:rFonts w:ascii="Verdana" w:cs="Verdana" w:hAnsi="Verdana" w:eastAsia="Verdana"/>
          <w:b w:val="1"/>
          <w:bCs w:val="1"/>
          <w:caps w:val="1"/>
          <w:sz w:val="32"/>
          <w:szCs w:val="32"/>
        </w:rPr>
      </w:pPr>
      <w:r>
        <w:rPr>
          <w:rFonts w:ascii="Verdana" w:hAnsi="Verdana"/>
          <w:b w:val="1"/>
          <w:bCs w:val="1"/>
          <w:caps w:val="1"/>
          <w:sz w:val="32"/>
          <w:szCs w:val="32"/>
          <w:rtl w:val="0"/>
          <w:lang w:val="it-IT"/>
        </w:rPr>
        <w:t>Torino capitale della mobilit</w:t>
      </w:r>
      <w:r>
        <w:rPr>
          <w:rFonts w:ascii="Verdana" w:hAnsi="Verdana" w:hint="default"/>
          <w:b w:val="1"/>
          <w:bCs w:val="1"/>
          <w:caps w:val="1"/>
          <w:sz w:val="32"/>
          <w:szCs w:val="32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caps w:val="1"/>
          <w:sz w:val="32"/>
          <w:szCs w:val="32"/>
          <w:rtl w:val="0"/>
          <w:lang w:val="it-IT"/>
        </w:rPr>
        <w:t>con Next Generation Mobility 2023</w:t>
      </w:r>
    </w:p>
    <w:p>
      <w:pPr>
        <w:pStyle w:val="Corpo A"/>
        <w:ind w:left="284" w:firstLine="0"/>
        <w:jc w:val="center"/>
        <w:rPr>
          <w:rFonts w:ascii="Verdana" w:cs="Verdana" w:hAnsi="Verdana" w:eastAsia="Verdana"/>
          <w:b w:val="1"/>
          <w:bCs w:val="1"/>
          <w:sz w:val="32"/>
          <w:szCs w:val="32"/>
        </w:rPr>
      </w:pPr>
    </w:p>
    <w:p>
      <w:pPr>
        <w:pStyle w:val="Corpo A"/>
        <w:ind w:left="284" w:firstLine="0"/>
        <w:jc w:val="center"/>
        <w:rPr>
          <w:rFonts w:ascii="Verdana" w:cs="Verdana" w:hAnsi="Verdana" w:eastAsia="Verdana"/>
          <w:sz w:val="28"/>
          <w:szCs w:val="28"/>
        </w:rPr>
      </w:pPr>
      <w:r>
        <w:rPr>
          <w:rFonts w:ascii="Verdana" w:hAnsi="Verdana"/>
          <w:sz w:val="28"/>
          <w:szCs w:val="28"/>
          <w:rtl w:val="0"/>
          <w:lang w:val="it-IT"/>
        </w:rPr>
        <w:t>Appuntamento il 13 e 14 giugno al Centro Congressi dell</w:t>
      </w:r>
      <w:r>
        <w:rPr>
          <w:rFonts w:ascii="Verdana" w:hAnsi="Verdana" w:hint="default"/>
          <w:sz w:val="28"/>
          <w:szCs w:val="28"/>
          <w:rtl w:val="0"/>
          <w:lang w:val="it-IT"/>
        </w:rPr>
        <w:t>’</w:t>
      </w:r>
      <w:r>
        <w:rPr>
          <w:rFonts w:ascii="Verdana" w:hAnsi="Verdana"/>
          <w:sz w:val="28"/>
          <w:szCs w:val="28"/>
          <w:rtl w:val="0"/>
          <w:lang w:val="it-IT"/>
        </w:rPr>
        <w:t xml:space="preserve">Unione Industriali di Torino e via streaming </w:t>
      </w:r>
    </w:p>
    <w:p>
      <w:pPr>
        <w:pStyle w:val="Corpo A"/>
        <w:ind w:left="284" w:firstLine="0"/>
        <w:jc w:val="both"/>
        <w:rPr>
          <w:rFonts w:ascii="Verdana" w:cs="Verdana" w:hAnsi="Verdana" w:eastAsia="Verdana"/>
        </w:rPr>
      </w:pPr>
    </w:p>
    <w:p>
      <w:pPr>
        <w:pStyle w:val="Normal (Web)"/>
        <w:shd w:val="clear" w:color="auto" w:fill="ffffff"/>
        <w:spacing w:before="0" w:after="0"/>
        <w:ind w:left="284" w:firstLine="0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i w:val="1"/>
          <w:iCs w:val="1"/>
          <w:sz w:val="22"/>
          <w:szCs w:val="22"/>
          <w:rtl w:val="0"/>
          <w:lang w:val="it-IT"/>
        </w:rPr>
        <w:t xml:space="preserve">Torino, 12 maggio 2023 -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Torna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il 13 e 14 giugno a Torino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 la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3^ edizione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 di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Next Generation Mobility</w:t>
      </w:r>
      <w:r>
        <w:rPr>
          <w:rFonts w:ascii="Verdana" w:hAnsi="Verdana"/>
          <w:sz w:val="22"/>
          <w:szCs w:val="22"/>
          <w:rtl w:val="0"/>
          <w:lang w:val="it-IT"/>
        </w:rPr>
        <w:t>, 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evento di riferimento della filiera della mobilit</w:t>
      </w:r>
      <w:r>
        <w:rPr>
          <w:rFonts w:ascii="Verdana" w:hAnsi="Verdana" w:hint="default"/>
          <w:sz w:val="22"/>
          <w:szCs w:val="22"/>
          <w:rtl w:val="0"/>
          <w:lang w:val="it-IT"/>
        </w:rPr>
        <w:t>à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.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Due giornate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> </w:t>
      </w:r>
      <w:r>
        <w:rPr>
          <w:rFonts w:ascii="Verdana" w:hAnsi="Verdana"/>
          <w:sz w:val="22"/>
          <w:szCs w:val="22"/>
          <w:rtl w:val="0"/>
          <w:lang w:val="it-IT"/>
        </w:rPr>
        <w:t>di conferenze e incontri in cui</w:t>
      </w:r>
      <w:r>
        <w:rPr>
          <w:rFonts w:ascii="Verdana" w:hAnsi="Verdana" w:hint="default"/>
          <w:sz w:val="22"/>
          <w:szCs w:val="22"/>
          <w:rtl w:val="0"/>
          <w:lang w:val="it-IT"/>
        </w:rPr>
        <w:t> 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aziende, start up, universit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e istituzioni </w:t>
      </w:r>
      <w:r>
        <w:rPr>
          <w:rFonts w:ascii="Verdana" w:hAnsi="Verdana"/>
          <w:sz w:val="22"/>
          <w:szCs w:val="22"/>
          <w:rtl w:val="0"/>
          <w:lang w:val="it-IT"/>
        </w:rPr>
        <w:t>avranno l'occasione di confrontarsi su innovazione, sulle opportunit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à </w:t>
      </w:r>
      <w:r>
        <w:rPr>
          <w:rFonts w:ascii="Verdana" w:hAnsi="Verdana"/>
          <w:sz w:val="22"/>
          <w:szCs w:val="22"/>
          <w:rtl w:val="0"/>
          <w:lang w:val="it-IT"/>
        </w:rPr>
        <w:t>di business, su compliance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> </w:t>
      </w:r>
      <w:r>
        <w:rPr>
          <w:rFonts w:ascii="Verdana" w:hAnsi="Verdana"/>
          <w:sz w:val="22"/>
          <w:szCs w:val="22"/>
          <w:rtl w:val="0"/>
          <w:lang w:val="it-IT"/>
        </w:rPr>
        <w:t>e riforme del settore.</w:t>
      </w:r>
    </w:p>
    <w:p>
      <w:pPr>
        <w:pStyle w:val="Corpo A"/>
        <w:ind w:left="284" w:firstLine="0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Corpo A"/>
        <w:ind w:left="284" w:firstLine="0"/>
        <w:jc w:val="both"/>
        <w:rPr>
          <w:rFonts w:ascii="Verdana" w:cs="Verdana" w:hAnsi="Verdana" w:eastAsia="Verdana"/>
          <w:sz w:val="22"/>
          <w:szCs w:val="22"/>
          <w:shd w:val="clear" w:color="auto" w:fill="ffffff"/>
        </w:rPr>
      </w:pPr>
      <w:r>
        <w:rPr>
          <w:rFonts w:ascii="Verdana" w:hAnsi="Verdana"/>
          <w:sz w:val="22"/>
          <w:szCs w:val="22"/>
          <w:rtl w:val="0"/>
          <w:lang w:val="it-IT"/>
        </w:rPr>
        <w:t>Per 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edizione 2023 di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Next Generation Mobility 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è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stato scelto il titolo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The Green Challenge</w:t>
      </w:r>
      <w:r>
        <w:rPr>
          <w:rFonts w:ascii="Verdana" w:hAnsi="Verdana"/>
          <w:sz w:val="22"/>
          <w:szCs w:val="22"/>
          <w:rtl w:val="0"/>
          <w:lang w:val="it-IT"/>
        </w:rPr>
        <w:t>, per ribadire il ruolo strategico e nodale che la mobilit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à </w:t>
      </w:r>
      <w:r>
        <w:rPr>
          <w:rFonts w:ascii="Verdana" w:hAnsi="Verdana"/>
          <w:sz w:val="22"/>
          <w:szCs w:val="22"/>
          <w:rtl w:val="0"/>
          <w:lang w:val="it-IT"/>
        </w:rPr>
        <w:t>rappresenta per il raggiungimento degli obiettivi dettati dall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Agenda 2030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 delle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Nazioni Unite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. </w:t>
      </w:r>
      <w:r>
        <w:rPr>
          <w:rFonts w:ascii="Verdana" w:hAnsi="Verdana"/>
          <w:sz w:val="22"/>
          <w:szCs w:val="22"/>
          <w:shd w:val="clear" w:color="auto" w:fill="ffffff"/>
          <w:rtl w:val="0"/>
          <w:lang w:val="it-IT"/>
        </w:rPr>
        <w:t>Le strade per perseguire l</w:t>
      </w:r>
      <w:r>
        <w:rPr>
          <w:rFonts w:ascii="Verdana" w:hAnsi="Verdana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Verdana" w:hAnsi="Verdana"/>
          <w:sz w:val="22"/>
          <w:szCs w:val="22"/>
          <w:shd w:val="clear" w:color="auto" w:fill="ffffff"/>
          <w:rtl w:val="0"/>
          <w:lang w:val="it-IT"/>
        </w:rPr>
        <w:t>obiettivo di sostenibilit</w:t>
      </w:r>
      <w:r>
        <w:rPr>
          <w:rFonts w:ascii="Verdana" w:hAnsi="Verdana" w:hint="default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Verdana" w:hAnsi="Verdana"/>
          <w:sz w:val="22"/>
          <w:szCs w:val="22"/>
          <w:shd w:val="clear" w:color="auto" w:fill="ffffff"/>
          <w:rtl w:val="0"/>
          <w:lang w:val="it-IT"/>
        </w:rPr>
        <w:t>sono diverse e vanno dalla decarbonizzazione alla sharing mobility, dalla MaaS alla mobilit</w:t>
      </w:r>
      <w:r>
        <w:rPr>
          <w:rFonts w:ascii="Verdana" w:hAnsi="Verdana" w:hint="default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Verdana" w:hAnsi="Verdana"/>
          <w:sz w:val="22"/>
          <w:szCs w:val="22"/>
          <w:shd w:val="clear" w:color="auto" w:fill="ffffff"/>
          <w:rtl w:val="0"/>
          <w:lang w:val="it-IT"/>
        </w:rPr>
        <w:t>leggera e individuale, dalla progettazione di prodotti e servizi alla guida connessa: tematiche complesse che hanno in comune l</w:t>
      </w:r>
      <w:r>
        <w:rPr>
          <w:rFonts w:ascii="Verdana" w:hAnsi="Verdana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Verdana" w:hAnsi="Verdana"/>
          <w:sz w:val="22"/>
          <w:szCs w:val="22"/>
          <w:shd w:val="clear" w:color="auto" w:fill="ffffff"/>
          <w:rtl w:val="0"/>
          <w:lang w:val="it-IT"/>
        </w:rPr>
        <w:t>applicazione dell</w:t>
      </w:r>
      <w:r>
        <w:rPr>
          <w:rFonts w:ascii="Verdana" w:hAnsi="Verdana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Verdana" w:hAnsi="Verdana"/>
          <w:sz w:val="22"/>
          <w:szCs w:val="22"/>
          <w:shd w:val="clear" w:color="auto" w:fill="ffffff"/>
          <w:rtl w:val="0"/>
          <w:lang w:val="it-IT"/>
        </w:rPr>
        <w:t>innovazione tecnologica e precise scelte di governance a tutti i livelli, dalle politiche europee a quelle locali.</w:t>
      </w:r>
    </w:p>
    <w:p>
      <w:pPr>
        <w:pStyle w:val="Corpo A"/>
        <w:ind w:left="284" w:firstLine="0"/>
        <w:jc w:val="both"/>
        <w:rPr>
          <w:rFonts w:ascii="Verdana" w:cs="Verdana" w:hAnsi="Verdana" w:eastAsia="Verdana"/>
          <w:sz w:val="22"/>
          <w:szCs w:val="22"/>
          <w:shd w:val="clear" w:color="auto" w:fill="ffffff"/>
        </w:rPr>
      </w:pPr>
    </w:p>
    <w:p>
      <w:pPr>
        <w:pStyle w:val="Corpo A"/>
        <w:ind w:left="284" w:firstLine="0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Quest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anno 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evento ospiter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à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i due importanti appuntamenti: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la IV Conferenza Nazionale sull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Urban Air Mobility e Advanced Air Mobility </w:t>
      </w:r>
      <w:r>
        <w:rPr>
          <w:rFonts w:ascii="Verdana" w:hAnsi="Verdana"/>
          <w:sz w:val="22"/>
          <w:szCs w:val="22"/>
          <w:rtl w:val="0"/>
          <w:lang w:val="fr-FR"/>
        </w:rPr>
        <w:t>e la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 I Conferenza Nazionale sull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idrogeno e gli e-fuels.</w:t>
      </w:r>
    </w:p>
    <w:p>
      <w:pPr>
        <w:pStyle w:val="Corpo A"/>
        <w:ind w:left="284" w:firstLine="0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Corpo A"/>
        <w:spacing w:line="288" w:lineRule="auto"/>
        <w:ind w:left="284" w:firstLine="0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Next Generation Mobility 2023 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è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una manifestazione patrocinata dal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Comune di Torino,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dalla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Citt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Metropolitana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 di Torino e dalla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Regione Piemonte</w:t>
      </w:r>
      <w:r>
        <w:rPr>
          <w:rFonts w:ascii="Verdana" w:hAnsi="Verdana"/>
          <w:sz w:val="22"/>
          <w:szCs w:val="22"/>
          <w:rtl w:val="0"/>
          <w:lang w:val="it-IT"/>
        </w:rPr>
        <w:t>.</w:t>
      </w:r>
    </w:p>
    <w:p>
      <w:pPr>
        <w:pStyle w:val="Corpo A"/>
        <w:ind w:left="284" w:firstLine="0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Corpo A"/>
        <w:ind w:left="284" w:firstLine="0"/>
        <w:jc w:val="both"/>
        <w:rPr>
          <w:rStyle w:val="Nessuno"/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Sar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à </w:t>
      </w:r>
      <w:r>
        <w:rPr>
          <w:rFonts w:ascii="Verdana" w:hAnsi="Verdana"/>
          <w:sz w:val="22"/>
          <w:szCs w:val="22"/>
          <w:rtl w:val="0"/>
          <w:lang w:val="it-IT"/>
        </w:rPr>
        <w:t>possibile seguire 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evento in presenza, nelle sale del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Centro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Congressi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dell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Unione Industriali di Torino, </w:t>
      </w:r>
      <w:r>
        <w:rPr>
          <w:rFonts w:ascii="Verdana" w:hAnsi="Verdana"/>
          <w:sz w:val="22"/>
          <w:szCs w:val="22"/>
          <w:rtl w:val="0"/>
          <w:lang w:val="it-IT"/>
        </w:rPr>
        <w:t>o in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 live streaming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 sulle piattaforme social di Next Generation Mobility o sul sito della manifestazione: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"http://ngmobility.it/"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ngmobility.it</w:t>
      </w:r>
      <w:r>
        <w:rPr/>
        <w:fldChar w:fldCharType="end" w:fldLock="0"/>
      </w:r>
    </w:p>
    <w:p>
      <w:pPr>
        <w:pStyle w:val="Corpo A"/>
        <w:ind w:left="284" w:firstLine="0"/>
        <w:jc w:val="both"/>
        <w:rPr>
          <w:rStyle w:val="Nessuno"/>
          <w:rFonts w:ascii="Verdana" w:cs="Verdana" w:hAnsi="Verdana" w:eastAsia="Verdana"/>
        </w:rPr>
      </w:pPr>
    </w:p>
    <w:p>
      <w:pPr>
        <w:pStyle w:val="Corpo A"/>
        <w:ind w:left="284" w:firstLine="0"/>
        <w:jc w:val="both"/>
        <w:rPr>
          <w:rStyle w:val="Nessuno"/>
          <w:rFonts w:ascii="Verdana" w:cs="Verdana" w:hAnsi="Verdana" w:eastAsia="Verdana"/>
          <w:i w:val="1"/>
          <w:iCs w:val="1"/>
          <w:sz w:val="18"/>
          <w:szCs w:val="18"/>
        </w:rPr>
      </w:pPr>
      <w:r>
        <w:rPr>
          <w:rStyle w:val="Nessuno"/>
          <w:rFonts w:ascii="Verdana" w:hAnsi="Verdana"/>
          <w:i w:val="1"/>
          <w:iCs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Verdana" w:hAnsi="Verdana" w:hint="default"/>
          <w:i w:val="1"/>
          <w:iCs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Verdana" w:hAnsi="Verdana"/>
          <w:i w:val="1"/>
          <w:iCs w:val="1"/>
          <w:sz w:val="18"/>
          <w:szCs w:val="18"/>
          <w:rtl w:val="0"/>
          <w:lang w:val="it-IT"/>
        </w:rPr>
        <w:t>evento nasce da una partnership consolidata: Clickutility Team, che da oltre 15 anni organizza convegni in ambito mobilit</w:t>
      </w:r>
      <w:r>
        <w:rPr>
          <w:rStyle w:val="Nessuno"/>
          <w:rFonts w:ascii="Verdana" w:hAnsi="Verdana" w:hint="default"/>
          <w:i w:val="1"/>
          <w:iCs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Verdana" w:hAnsi="Verdana"/>
          <w:i w:val="1"/>
          <w:iCs w:val="1"/>
          <w:sz w:val="18"/>
          <w:szCs w:val="18"/>
          <w:rtl w:val="0"/>
          <w:lang w:val="it-IT"/>
        </w:rPr>
        <w:t xml:space="preserve">e smart city, e Studio Comelli, che da sempre si occupa di progettare contenuti di eventi e agende scientifiche e di media relation. </w:t>
      </w:r>
    </w:p>
    <w:p>
      <w:pPr>
        <w:pStyle w:val="Corpo A"/>
        <w:ind w:left="284" w:firstLine="0"/>
        <w:jc w:val="both"/>
        <w:rPr>
          <w:rStyle w:val="Nessuno"/>
          <w:rFonts w:ascii="Verdana" w:cs="Verdana" w:hAnsi="Verdana" w:eastAsia="Verdana"/>
          <w:i w:val="1"/>
          <w:iCs w:val="1"/>
          <w:sz w:val="18"/>
          <w:szCs w:val="18"/>
        </w:rPr>
      </w:pPr>
      <w:r>
        <w:rPr>
          <w:rStyle w:val="Nessuno"/>
          <w:rFonts w:ascii="Verdana" w:hAnsi="Verdana"/>
          <w:i w:val="1"/>
          <w:iCs w:val="1"/>
          <w:sz w:val="18"/>
          <w:szCs w:val="18"/>
          <w:rtl w:val="0"/>
          <w:lang w:val="it-IT"/>
        </w:rPr>
        <w:t>Maggiori informazioni sull</w:t>
      </w:r>
      <w:r>
        <w:rPr>
          <w:rStyle w:val="Nessuno"/>
          <w:rFonts w:ascii="Verdana" w:hAnsi="Verdana" w:hint="default"/>
          <w:i w:val="1"/>
          <w:iCs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Verdana" w:hAnsi="Verdana"/>
          <w:i w:val="1"/>
          <w:iCs w:val="1"/>
          <w:sz w:val="18"/>
          <w:szCs w:val="18"/>
          <w:rtl w:val="0"/>
          <w:lang w:val="it-IT"/>
        </w:rPr>
        <w:t>evento sul sito: www.ngmobility.it</w:t>
      </w:r>
    </w:p>
    <w:p>
      <w:pPr>
        <w:pStyle w:val="Corpo A"/>
        <w:ind w:left="284" w:firstLine="0"/>
        <w:jc w:val="both"/>
        <w:rPr>
          <w:rStyle w:val="Nessuno"/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</w:p>
    <w:p>
      <w:pPr>
        <w:pStyle w:val="Corpo A"/>
        <w:ind w:left="284" w:firstLine="0"/>
        <w:jc w:val="both"/>
        <w:rPr>
          <w:rStyle w:val="Nessuno"/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Style w:val="Nessuno"/>
          <w:rFonts w:ascii="Verdana" w:hAnsi="Verdana"/>
          <w:b w:val="1"/>
          <w:bCs w:val="1"/>
          <w:sz w:val="18"/>
          <w:szCs w:val="18"/>
          <w:rtl w:val="0"/>
          <w:lang w:val="it-IT"/>
        </w:rPr>
        <w:t>UFFICIO STAMPA E MEDIA RELATION</w:t>
      </w:r>
    </w:p>
    <w:p>
      <w:pPr>
        <w:pStyle w:val="Corpo A"/>
        <w:ind w:left="284" w:firstLine="0"/>
        <w:jc w:val="both"/>
        <w:rPr>
          <w:rStyle w:val="Nessuno"/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Style w:val="Nessuno"/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Studio Comelli </w:t>
      </w:r>
      <w:r>
        <w:rPr>
          <w:rStyle w:val="Nessuno"/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rFonts w:ascii="Verdana" w:hAnsi="Verdana"/>
          <w:b w:val="1"/>
          <w:bCs w:val="1"/>
          <w:sz w:val="18"/>
          <w:szCs w:val="18"/>
          <w:rtl w:val="0"/>
          <w:lang w:val="fr-FR"/>
        </w:rPr>
        <w:t>Conferences&amp;Communication</w:t>
      </w:r>
    </w:p>
    <w:p>
      <w:pPr>
        <w:pStyle w:val="Corpo A"/>
        <w:ind w:left="284" w:firstLine="0"/>
        <w:jc w:val="both"/>
        <w:rPr>
          <w:rStyle w:val="Nessuno"/>
          <w:rFonts w:ascii="Verdana" w:cs="Verdana" w:hAnsi="Verdana" w:eastAsia="Verdana"/>
          <w:sz w:val="18"/>
          <w:szCs w:val="18"/>
        </w:rPr>
      </w:pPr>
      <w:r>
        <w:rPr>
          <w:rStyle w:val="Nessuno"/>
          <w:rFonts w:ascii="Verdana" w:hAnsi="Verdana"/>
          <w:sz w:val="18"/>
          <w:szCs w:val="18"/>
          <w:rtl w:val="0"/>
          <w:lang w:val="it-IT"/>
        </w:rPr>
        <w:t xml:space="preserve">Salvatore Bruno -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"mailto:salvatore@studiocomelli.eu"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salvatore@studiocomelli.eu</w:t>
      </w:r>
      <w:r>
        <w:rPr/>
        <w:fldChar w:fldCharType="end" w:fldLock="0"/>
      </w:r>
      <w:r>
        <w:rPr>
          <w:rStyle w:val="Nessuno"/>
          <w:rFonts w:ascii="Verdana" w:hAnsi="Verdana" w:hint="default"/>
          <w:sz w:val="18"/>
          <w:szCs w:val="18"/>
          <w:rtl w:val="0"/>
          <w:lang w:val="it-IT"/>
        </w:rPr>
        <w:t xml:space="preserve"> – </w:t>
      </w:r>
      <w:r>
        <w:rPr>
          <w:rStyle w:val="Nessuno"/>
          <w:rFonts w:ascii="Verdana" w:hAnsi="Verdana"/>
          <w:sz w:val="18"/>
          <w:szCs w:val="18"/>
          <w:rtl w:val="0"/>
          <w:lang w:val="it-IT"/>
        </w:rPr>
        <w:t>335 398913</w:t>
      </w:r>
    </w:p>
    <w:p>
      <w:pPr>
        <w:pStyle w:val="Corpo A"/>
        <w:ind w:left="284" w:firstLine="0"/>
        <w:jc w:val="both"/>
      </w:pPr>
      <w:r>
        <w:rPr>
          <w:rStyle w:val="Nessuno"/>
          <w:rFonts w:ascii="Verdana" w:hAnsi="Verdana"/>
          <w:sz w:val="18"/>
          <w:szCs w:val="18"/>
          <w:rtl w:val="0"/>
          <w:lang w:val="it-IT"/>
        </w:rPr>
        <w:t xml:space="preserve">Aurora Marin -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"mailto:aurora@studiocomelli.eu"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aurora@studiocomelli.eu</w:t>
      </w:r>
      <w:r>
        <w:rPr/>
        <w:fldChar w:fldCharType="end" w:fldLock="0"/>
      </w:r>
      <w:r>
        <w:rPr>
          <w:rStyle w:val="Nessuno"/>
          <w:rFonts w:ascii="Verdana" w:hAnsi="Verdana"/>
          <w:sz w:val="18"/>
          <w:szCs w:val="18"/>
          <w:rtl w:val="0"/>
          <w:lang w:val="it-IT"/>
        </w:rPr>
        <w:t xml:space="preserve"> - 347 1722820</w:t>
      </w:r>
    </w:p>
    <w:sectPr>
      <w:headerReference w:type="default" r:id="rId4"/>
      <w:footerReference w:type="default" r:id="rId5"/>
      <w:pgSz w:w="11900" w:h="16840" w:orient="portrait"/>
      <w:pgMar w:top="2552" w:right="1134" w:bottom="2268" w:left="851" w:header="284" w:footer="5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DYLOVASTUFF">
    <w:charset w:val="00"/>
    <w:family w:val="roman"/>
    <w:pitch w:val="default"/>
  </w:font>
  <w:font w:name="Arial Narrow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tabs>
        <w:tab w:val="center" w:pos="4819"/>
        <w:tab w:val="right" w:pos="9638"/>
      </w:tabs>
      <w:spacing w:after="120"/>
      <w:jc w:val="center"/>
      <w:rPr>
        <w:rFonts w:ascii="DYLOVASTUFF" w:cs="DYLOVASTUFF" w:hAnsi="DYLOVASTUFF" w:eastAsia="DYLOVASTUFF"/>
        <w:b w:val="1"/>
        <w:bCs w:val="1"/>
        <w:outline w:val="0"/>
        <w:color w:val="1e3b87"/>
        <w:u w:color="1e3b87"/>
        <w14:textFill>
          <w14:solidFill>
            <w14:srgbClr w14:val="1E3B87"/>
          </w14:solidFill>
        </w14:textFill>
      </w:rPr>
    </w:pPr>
  </w:p>
  <w:p>
    <w:pPr>
      <w:pStyle w:val="Corpo A"/>
      <w:tabs>
        <w:tab w:val="center" w:pos="4819"/>
        <w:tab w:val="right" w:pos="9638"/>
      </w:tabs>
      <w:spacing w:after="120"/>
      <w:jc w:val="center"/>
      <w:rPr>
        <w:rFonts w:ascii="DYLOVASTUFF" w:cs="DYLOVASTUFF" w:hAnsi="DYLOVASTUFF" w:eastAsia="DYLOVASTUFF"/>
        <w:b w:val="1"/>
        <w:bCs w:val="1"/>
        <w:outline w:val="0"/>
        <w:color w:val="1e3b87"/>
        <w:u w:color="1e3b87"/>
        <w14:textFill>
          <w14:solidFill>
            <w14:srgbClr w14:val="1E3B87"/>
          </w14:solidFill>
        </w14:textFill>
      </w:rPr>
    </w:pPr>
    <w:r>
      <w:rPr>
        <w:rFonts w:ascii="DYLOVASTUFF" w:cs="DYLOVASTUFF" w:hAnsi="DYLOVASTUFF" w:eastAsia="DYLOVASTUFF"/>
        <w:b w:val="1"/>
        <w:bCs w:val="1"/>
        <w:outline w:val="0"/>
        <w:color w:val="1e3b87"/>
        <w:u w:color="1e3b87"/>
        <w:rtl w:val="0"/>
        <w:lang w:val="it-IT"/>
        <w14:textFill>
          <w14:solidFill>
            <w14:srgbClr w14:val="1E3B87"/>
          </w14:solidFill>
        </w14:textFill>
      </w:rPr>
      <w:t>ORGANIZZATO DA</w:t>
    </w:r>
  </w:p>
  <w:p>
    <w:pPr>
      <w:pStyle w:val="Corpo A"/>
      <w:tabs>
        <w:tab w:val="center" w:pos="4819"/>
        <w:tab w:val="right" w:pos="9638"/>
      </w:tabs>
      <w:jc w:val="center"/>
    </w:pPr>
    <w:r>
      <w:rPr>
        <w:rStyle w:val="Nessuno A"/>
      </w:rPr>
      <w:drawing xmlns:a="http://schemas.openxmlformats.org/drawingml/2006/main">
        <wp:inline distT="0" distB="0" distL="0" distR="0">
          <wp:extent cx="1210945" cy="288290"/>
          <wp:effectExtent l="0" t="0" r="0" b="0"/>
          <wp:docPr id="1073741827" name="officeArt object" descr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11" descr="Immagine 1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2882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 A"/>
        <w:rtl w:val="0"/>
        <w:lang w:val="it-IT"/>
      </w:rPr>
      <w:t xml:space="preserve">               </w:t>
    </w:r>
    <w:r>
      <w:rPr>
        <w:rStyle w:val="Nessuno A"/>
      </w:rPr>
      <w:drawing xmlns:a="http://schemas.openxmlformats.org/drawingml/2006/main">
        <wp:inline distT="0" distB="0" distL="0" distR="0">
          <wp:extent cx="1111885" cy="288290"/>
          <wp:effectExtent l="0" t="0" r="0" b="0"/>
          <wp:docPr id="1073741828" name="officeArt object" descr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 12" descr="Immagine 1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2882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tabs>
        <w:tab w:val="center" w:pos="4819"/>
        <w:tab w:val="right" w:pos="9638"/>
      </w:tabs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-3429635</wp:posOffset>
              </wp:positionH>
              <wp:positionV relativeFrom="page">
                <wp:posOffset>4261485</wp:posOffset>
              </wp:positionV>
              <wp:extent cx="7341871" cy="475614"/>
              <wp:effectExtent l="0" t="0" r="0" b="0"/>
              <wp:wrapNone/>
              <wp:docPr id="1073741825" name="officeArt object" descr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341871" cy="4756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ntenuto cornice"/>
                            <w:jc w:val="center"/>
                          </w:pPr>
                          <w:r>
                            <w:rPr>
                              <w:rFonts w:ascii="Arial Narrow" w:hAnsi="Arial Narrow"/>
                              <w:outline w:val="0"/>
                              <w:color w:val="1f497d"/>
                              <w:sz w:val="52"/>
                              <w:szCs w:val="52"/>
                              <w:u w:color="1f497d"/>
                              <w:rtl w:val="0"/>
                              <w:lang w:val="it-IT"/>
                              <w14:textFill>
                                <w14:solidFill>
                                  <w14:srgbClr w14:val="1F497D"/>
                                </w14:solidFill>
                              </w14:textFill>
                            </w:rPr>
                            <w:t>INFORMAZIONI PER LA STAMPA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-270.1pt;margin-top:335.6pt;width:578.1pt;height:37.4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ntenuto cornice"/>
                      <w:jc w:val="center"/>
                    </w:pPr>
                    <w:r>
                      <w:rPr>
                        <w:rFonts w:ascii="Arial Narrow" w:hAnsi="Arial Narrow"/>
                        <w:outline w:val="0"/>
                        <w:color w:val="1f497d"/>
                        <w:sz w:val="52"/>
                        <w:szCs w:val="52"/>
                        <w:u w:color="1f497d"/>
                        <w:rtl w:val="0"/>
                        <w:lang w:val="it-IT"/>
                        <w14:textFill>
                          <w14:solidFill>
                            <w14:srgbClr w14:val="1F497D"/>
                          </w14:solidFill>
                        </w14:textFill>
                      </w:rPr>
                      <w:t>INFORMAZIONI PER LA STAMPA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140335</wp:posOffset>
          </wp:positionH>
          <wp:positionV relativeFrom="page">
            <wp:posOffset>137795</wp:posOffset>
          </wp:positionV>
          <wp:extent cx="2363470" cy="1333500"/>
          <wp:effectExtent l="0" t="0" r="0" b="0"/>
          <wp:wrapNone/>
          <wp:docPr id="1073741826" name="officeArt object" descr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10" descr="Immagine 10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3470" cy="1333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Corpo A"/>
      <w:tabs>
        <w:tab w:val="center" w:pos="4819"/>
        <w:tab w:val="right" w:pos="9638"/>
      </w:tabs>
      <w:jc w:val="right"/>
      <w:rPr>
        <w:rFonts w:ascii="DYLOVASTUFF" w:cs="DYLOVASTUFF" w:hAnsi="DYLOVASTUFF" w:eastAsia="DYLOVASTUFF"/>
        <w:outline w:val="0"/>
        <w:color w:val="1e3b87"/>
        <w:sz w:val="28"/>
        <w:szCs w:val="28"/>
        <w:u w:color="1e3b87"/>
        <w14:textFill>
          <w14:solidFill>
            <w14:srgbClr w14:val="1E3B87"/>
          </w14:solidFill>
        </w14:textFill>
      </w:rPr>
    </w:pPr>
  </w:p>
  <w:p>
    <w:pPr>
      <w:pStyle w:val="Corpo A"/>
      <w:tabs>
        <w:tab w:val="center" w:pos="4819"/>
        <w:tab w:val="right" w:pos="9638"/>
      </w:tabs>
      <w:jc w:val="right"/>
      <w:rPr>
        <w:rFonts w:ascii="DYLOVASTUFF" w:cs="DYLOVASTUFF" w:hAnsi="DYLOVASTUFF" w:eastAsia="DYLOVASTUFF"/>
        <w:outline w:val="0"/>
        <w:color w:val="1e3b87"/>
        <w:sz w:val="28"/>
        <w:szCs w:val="28"/>
        <w:u w:color="1e3b87"/>
        <w14:textFill>
          <w14:solidFill>
            <w14:srgbClr w14:val="1E3B87"/>
          </w14:solidFill>
        </w14:textFill>
      </w:rPr>
    </w:pPr>
  </w:p>
  <w:p>
    <w:pPr>
      <w:pStyle w:val="Corpo A"/>
      <w:tabs>
        <w:tab w:val="center" w:pos="4819"/>
        <w:tab w:val="right" w:pos="9638"/>
      </w:tabs>
      <w:jc w:val="right"/>
      <w:rPr>
        <w:rFonts w:ascii="Arial" w:cs="Arial" w:hAnsi="Arial" w:eastAsia="Arial"/>
        <w:outline w:val="0"/>
        <w:color w:val="1e3b87"/>
        <w:sz w:val="28"/>
        <w:szCs w:val="28"/>
        <w:u w:color="1e3b87"/>
        <w14:textFill>
          <w14:solidFill>
            <w14:srgbClr w14:val="1E3B87"/>
          </w14:solidFill>
        </w14:textFill>
      </w:rPr>
    </w:pPr>
    <w:r>
      <w:rPr>
        <w:rFonts w:ascii="Arial" w:hAnsi="Arial"/>
        <w:outline w:val="0"/>
        <w:color w:val="1e3b87"/>
        <w:sz w:val="28"/>
        <w:szCs w:val="28"/>
        <w:u w:color="1e3b87"/>
        <w:rtl w:val="0"/>
        <w:lang w:val="it-IT"/>
        <w14:textFill>
          <w14:solidFill>
            <w14:srgbClr w14:val="1E3B87"/>
          </w14:solidFill>
        </w14:textFill>
      </w:rPr>
      <w:t xml:space="preserve">13 </w:t>
    </w:r>
    <w:r>
      <w:rPr>
        <w:rFonts w:ascii="Arial" w:hAnsi="Arial" w:hint="default"/>
        <w:outline w:val="0"/>
        <w:color w:val="1e3b87"/>
        <w:sz w:val="28"/>
        <w:szCs w:val="28"/>
        <w:u w:color="1e3b87"/>
        <w:rtl w:val="0"/>
        <w:lang w:val="it-IT"/>
        <w14:textFill>
          <w14:solidFill>
            <w14:srgbClr w14:val="1E3B87"/>
          </w14:solidFill>
        </w14:textFill>
      </w:rPr>
      <w:t xml:space="preserve">– </w:t>
    </w:r>
    <w:r>
      <w:rPr>
        <w:rFonts w:ascii="Arial" w:hAnsi="Arial"/>
        <w:outline w:val="0"/>
        <w:color w:val="1e3b87"/>
        <w:sz w:val="28"/>
        <w:szCs w:val="28"/>
        <w:u w:color="1e3b87"/>
        <w:rtl w:val="0"/>
        <w:lang w:val="pt-PT"/>
        <w14:textFill>
          <w14:solidFill>
            <w14:srgbClr w14:val="1E3B87"/>
          </w14:solidFill>
        </w14:textFill>
      </w:rPr>
      <w:t>14 GIUGNO 2023</w:t>
    </w:r>
  </w:p>
  <w:p>
    <w:pPr>
      <w:pStyle w:val="Corpo A"/>
      <w:tabs>
        <w:tab w:val="center" w:pos="4819"/>
        <w:tab w:val="right" w:pos="9638"/>
      </w:tabs>
      <w:jc w:val="right"/>
    </w:pPr>
    <w:r>
      <w:rPr>
        <w:rFonts w:ascii="Arial" w:hAnsi="Arial"/>
        <w:outline w:val="0"/>
        <w:color w:val="e7da12"/>
        <w:sz w:val="28"/>
        <w:szCs w:val="28"/>
        <w:u w:color="e7da12"/>
        <w:rtl w:val="0"/>
        <w:lang w:val="it-IT"/>
        <w14:textFill>
          <w14:solidFill>
            <w14:srgbClr w14:val="E7DA12"/>
          </w14:solidFill>
        </w14:textFill>
      </w:rPr>
      <w:t xml:space="preserve">www.ngmobility.it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ntenuto cornice">
    <w:name w:val="Contenuto cornice"/>
    <w:next w:val="Contenuto cornic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Verdana" w:cs="Verdana" w:hAnsi="Verdana" w:eastAsia="Verdana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rFonts w:ascii="Verdana" w:cs="Verdana" w:hAnsi="Verdana" w:eastAsia="Verdana"/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Nessuno"/>
    <w:next w:val="Hyperlink.2"/>
    <w:rPr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